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C5" w:rsidRDefault="007325C5" w:rsidP="007325C5">
      <w:pPr>
        <w:pStyle w:val="2"/>
        <w:tabs>
          <w:tab w:val="left" w:pos="709"/>
        </w:tabs>
        <w:spacing w:line="276" w:lineRule="auto"/>
        <w:ind w:firstLine="0"/>
        <w:rPr>
          <w:b/>
          <w:szCs w:val="28"/>
          <w:highlight w:val="yellow"/>
        </w:rPr>
      </w:pPr>
      <w:r>
        <w:rPr>
          <w:b/>
          <w:szCs w:val="28"/>
        </w:rPr>
        <w:t>Материалы исследования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  <w:t xml:space="preserve">На первом этапе это будет поперечное исследование, в котором у больных фибрилляцией предсердий будут </w:t>
      </w:r>
      <w:proofErr w:type="spellStart"/>
      <w:r>
        <w:rPr>
          <w:rFonts w:eastAsia="Calibri"/>
          <w:szCs w:val="28"/>
          <w:lang w:eastAsia="en-US"/>
        </w:rPr>
        <w:t>одномоментно</w:t>
      </w:r>
      <w:proofErr w:type="spellEnd"/>
      <w:r>
        <w:rPr>
          <w:rFonts w:eastAsia="Calibri"/>
          <w:szCs w:val="28"/>
          <w:lang w:eastAsia="en-US"/>
        </w:rPr>
        <w:t xml:space="preserve"> исследованы маркеры дисфункции и повреждения почек. 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  <w:t>Критерии включения в основную группу: мужчина или женщина в возрасте 35-59 лет с неклапанной фибрилляцией предсердий при наличии подписанного информированного согласия.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  <w:t>Критерии исключения из основной группы: верифицированная ИБС, ХСН с ФВ менее 40%, клапанная ФП, СД 1 или 2 типа, злокачественные новообразования, ХОБЛ, БА, воспалительные заболевания почек и мочевыводящих путей, аномалии развития и доброкачественные новообразования почек, СКФ менее 30 мл/мин/1,73м</w:t>
      </w:r>
      <w:proofErr w:type="gramStart"/>
      <w:r>
        <w:rPr>
          <w:rFonts w:eastAsia="Calibri"/>
          <w:szCs w:val="28"/>
          <w:lang w:eastAsia="en-US"/>
        </w:rPr>
        <w:t>2</w:t>
      </w:r>
      <w:proofErr w:type="gramEnd"/>
      <w:r>
        <w:rPr>
          <w:rFonts w:eastAsia="Calibri"/>
          <w:szCs w:val="28"/>
          <w:lang w:eastAsia="en-US"/>
        </w:rPr>
        <w:t>, дисфункция щитовидной железы, отказ больного подписать информированное согласие на участие в исследовании.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  <w:t>В контрольную группу будут включены пациенты, сопоставимые с основной группой по полу, возрасту, уровню АД без ФП.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  <w:t>На этапе поперечного исследования планируется обследовать 120 человек основной группы и 30 человек - контрольной. Основная группа будет включать две подгруппы: с ФП и АГ (60 человек) и с ФП без АГ (60 человек). У данных пациентов будут исследованы следующие параметры: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определение уровня СРБ количественным методом;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определение концентрации альбумина в моче;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proofErr w:type="gramStart"/>
      <w:r>
        <w:rPr>
          <w:rFonts w:eastAsia="Calibri"/>
          <w:szCs w:val="28"/>
          <w:lang w:eastAsia="en-US"/>
        </w:rPr>
        <w:t xml:space="preserve">- определение уровня </w:t>
      </w:r>
      <w:proofErr w:type="spellStart"/>
      <w:r>
        <w:rPr>
          <w:rFonts w:eastAsia="Calibri"/>
          <w:szCs w:val="28"/>
          <w:lang w:eastAsia="en-US"/>
        </w:rPr>
        <w:t>креатинина</w:t>
      </w:r>
      <w:proofErr w:type="spellEnd"/>
      <w:r>
        <w:rPr>
          <w:rFonts w:eastAsia="Calibri"/>
          <w:szCs w:val="28"/>
          <w:lang w:eastAsia="en-US"/>
        </w:rPr>
        <w:t xml:space="preserve"> крови и расчет СКФ (формулы</w:t>
      </w:r>
      <w:proofErr w:type="gramEnd"/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MDRD и </w:t>
      </w:r>
      <w:proofErr w:type="gramStart"/>
      <w:r>
        <w:rPr>
          <w:rFonts w:eastAsia="Calibri"/>
          <w:szCs w:val="28"/>
          <w:lang w:eastAsia="en-US"/>
        </w:rPr>
        <w:t>С</w:t>
      </w:r>
      <w:proofErr w:type="gramEnd"/>
      <w:r>
        <w:rPr>
          <w:rFonts w:eastAsia="Calibri"/>
          <w:szCs w:val="28"/>
          <w:lang w:eastAsia="en-US"/>
        </w:rPr>
        <w:t>KD-EPI);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определение уровня </w:t>
      </w:r>
      <w:proofErr w:type="spellStart"/>
      <w:r>
        <w:rPr>
          <w:rFonts w:eastAsia="Calibri"/>
          <w:szCs w:val="28"/>
          <w:lang w:eastAsia="en-US"/>
        </w:rPr>
        <w:t>цистатина</w:t>
      </w:r>
      <w:proofErr w:type="spellEnd"/>
      <w:proofErr w:type="gramStart"/>
      <w:r>
        <w:rPr>
          <w:rFonts w:eastAsia="Calibri"/>
          <w:szCs w:val="28"/>
          <w:lang w:eastAsia="en-US"/>
        </w:rPr>
        <w:t xml:space="preserve"> С</w:t>
      </w:r>
      <w:proofErr w:type="gramEnd"/>
      <w:r>
        <w:rPr>
          <w:rFonts w:eastAsia="Calibri"/>
          <w:szCs w:val="28"/>
          <w:lang w:eastAsia="en-US"/>
        </w:rPr>
        <w:t xml:space="preserve"> крови и расчет СКФ (формула </w:t>
      </w:r>
      <w:proofErr w:type="spellStart"/>
      <w:r>
        <w:rPr>
          <w:rFonts w:eastAsia="Calibri"/>
          <w:szCs w:val="28"/>
          <w:lang w:eastAsia="en-US"/>
        </w:rPr>
        <w:t>Hoek</w:t>
      </w:r>
      <w:proofErr w:type="spellEnd"/>
      <w:r>
        <w:rPr>
          <w:rFonts w:eastAsia="Calibri"/>
          <w:szCs w:val="28"/>
          <w:lang w:eastAsia="en-US"/>
        </w:rPr>
        <w:t>);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proofErr w:type="gramStart"/>
      <w:r>
        <w:rPr>
          <w:rFonts w:eastAsia="Calibri"/>
          <w:szCs w:val="28"/>
          <w:lang w:eastAsia="en-US"/>
        </w:rPr>
        <w:t xml:space="preserve">- определение содержания матриксной металлопротеиназы-2 в крови (набор реагентов </w:t>
      </w:r>
      <w:proofErr w:type="spellStart"/>
      <w:r>
        <w:rPr>
          <w:rFonts w:eastAsia="Calibri"/>
          <w:szCs w:val="28"/>
          <w:lang w:eastAsia="en-US"/>
        </w:rPr>
        <w:t>Human</w:t>
      </w:r>
      <w:proofErr w:type="spellEnd"/>
      <w:r>
        <w:rPr>
          <w:rFonts w:eastAsia="Calibri"/>
          <w:szCs w:val="28"/>
          <w:lang w:eastAsia="en-US"/>
        </w:rPr>
        <w:t xml:space="preserve"> MMP-2 </w:t>
      </w:r>
      <w:proofErr w:type="spellStart"/>
      <w:r>
        <w:rPr>
          <w:rFonts w:eastAsia="Calibri"/>
          <w:szCs w:val="28"/>
          <w:lang w:eastAsia="en-US"/>
        </w:rPr>
        <w:t>Quantikine</w:t>
      </w:r>
      <w:proofErr w:type="spellEnd"/>
      <w:r>
        <w:rPr>
          <w:rFonts w:eastAsia="Calibri"/>
          <w:szCs w:val="28"/>
          <w:lang w:eastAsia="en-US"/>
        </w:rPr>
        <w:t xml:space="preserve"> ELISA </w:t>
      </w:r>
      <w:proofErr w:type="spellStart"/>
      <w:r>
        <w:rPr>
          <w:rFonts w:eastAsia="Calibri"/>
          <w:szCs w:val="28"/>
          <w:lang w:eastAsia="en-US"/>
        </w:rPr>
        <w:t>Kit</w:t>
      </w:r>
      <w:proofErr w:type="spellEnd"/>
      <w:r>
        <w:rPr>
          <w:rFonts w:eastAsia="Calibri"/>
          <w:szCs w:val="28"/>
          <w:lang w:eastAsia="en-US"/>
        </w:rPr>
        <w:t>);</w:t>
      </w:r>
      <w:proofErr w:type="gramEnd"/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вид и режим </w:t>
      </w:r>
      <w:proofErr w:type="spellStart"/>
      <w:r>
        <w:rPr>
          <w:rFonts w:eastAsia="Calibri"/>
          <w:szCs w:val="28"/>
          <w:lang w:eastAsia="en-US"/>
        </w:rPr>
        <w:t>антикоагулянтной</w:t>
      </w:r>
      <w:proofErr w:type="spellEnd"/>
      <w:r>
        <w:rPr>
          <w:rFonts w:eastAsia="Calibri"/>
          <w:szCs w:val="28"/>
          <w:lang w:eastAsia="en-US"/>
        </w:rPr>
        <w:t xml:space="preserve"> терапии; 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расчет риска сердечно-сосудистых осложнений по шкалам SCORE, ASCVD, </w:t>
      </w:r>
      <w:proofErr w:type="spellStart"/>
      <w:r>
        <w:rPr>
          <w:rFonts w:eastAsia="Calibri"/>
          <w:szCs w:val="28"/>
          <w:lang w:eastAsia="en-US"/>
        </w:rPr>
        <w:t>фрамингемской</w:t>
      </w:r>
      <w:proofErr w:type="spellEnd"/>
      <w:r>
        <w:rPr>
          <w:rFonts w:eastAsia="Calibri"/>
          <w:szCs w:val="28"/>
          <w:lang w:eastAsia="en-US"/>
        </w:rPr>
        <w:t xml:space="preserve"> шкале;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риск развития системных тромбоэмболий по шкале CHA2DS2VASc;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риск развития кровотечений по шкале HASBLED.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  <w:t xml:space="preserve">В этап </w:t>
      </w:r>
      <w:proofErr w:type="spellStart"/>
      <w:r>
        <w:rPr>
          <w:rFonts w:eastAsia="Calibri"/>
          <w:szCs w:val="28"/>
          <w:lang w:eastAsia="en-US"/>
        </w:rPr>
        <w:t>проспективного</w:t>
      </w:r>
      <w:proofErr w:type="spellEnd"/>
      <w:r>
        <w:rPr>
          <w:rFonts w:eastAsia="Calibri"/>
          <w:szCs w:val="28"/>
          <w:lang w:eastAsia="en-US"/>
        </w:rPr>
        <w:t xml:space="preserve"> наблюдения будут </w:t>
      </w:r>
      <w:proofErr w:type="spellStart"/>
      <w:r>
        <w:rPr>
          <w:rFonts w:eastAsia="Calibri"/>
          <w:szCs w:val="28"/>
          <w:lang w:eastAsia="en-US"/>
        </w:rPr>
        <w:t>рандомизированы</w:t>
      </w:r>
      <w:proofErr w:type="spellEnd"/>
      <w:r>
        <w:rPr>
          <w:rFonts w:eastAsia="Calibri"/>
          <w:szCs w:val="28"/>
          <w:lang w:eastAsia="en-US"/>
        </w:rPr>
        <w:t xml:space="preserve"> 50 человек, у которых через 12 месяцев будут определены следующие параметры: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</w:t>
      </w:r>
      <w:proofErr w:type="spellStart"/>
      <w:r>
        <w:rPr>
          <w:rFonts w:eastAsia="Calibri"/>
          <w:szCs w:val="28"/>
          <w:lang w:eastAsia="en-US"/>
        </w:rPr>
        <w:t>цистатин</w:t>
      </w:r>
      <w:proofErr w:type="spellEnd"/>
      <w:proofErr w:type="gramStart"/>
      <w:r>
        <w:rPr>
          <w:rFonts w:eastAsia="Calibri"/>
          <w:szCs w:val="28"/>
          <w:lang w:eastAsia="en-US"/>
        </w:rPr>
        <w:t xml:space="preserve"> С</w:t>
      </w:r>
      <w:proofErr w:type="gramEnd"/>
      <w:r>
        <w:rPr>
          <w:rFonts w:eastAsia="Calibri"/>
          <w:szCs w:val="28"/>
          <w:lang w:eastAsia="en-US"/>
        </w:rPr>
        <w:t xml:space="preserve"> крови,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СКФ,</w:t>
      </w:r>
    </w:p>
    <w:p w:rsidR="007325C5" w:rsidRDefault="007325C5" w:rsidP="007325C5">
      <w:pPr>
        <w:pStyle w:val="a3"/>
        <w:tabs>
          <w:tab w:val="left" w:pos="709"/>
          <w:tab w:val="left" w:pos="1276"/>
        </w:tabs>
        <w:ind w:left="786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альбуминурия.</w:t>
      </w:r>
    </w:p>
    <w:p w:rsidR="007325C5" w:rsidRDefault="007325C5" w:rsidP="007325C5">
      <w:pPr>
        <w:pStyle w:val="2"/>
        <w:tabs>
          <w:tab w:val="left" w:pos="709"/>
        </w:tabs>
        <w:spacing w:line="276" w:lineRule="auto"/>
        <w:ind w:firstLine="0"/>
        <w:rPr>
          <w:szCs w:val="28"/>
        </w:rPr>
      </w:pPr>
    </w:p>
    <w:p w:rsidR="007325C5" w:rsidRDefault="007325C5" w:rsidP="007325C5">
      <w:pPr>
        <w:pStyle w:val="a3"/>
        <w:tabs>
          <w:tab w:val="left" w:pos="709"/>
        </w:tabs>
        <w:spacing w:line="276" w:lineRule="auto"/>
        <w:jc w:val="both"/>
        <w:rPr>
          <w:b/>
          <w:szCs w:val="28"/>
        </w:rPr>
      </w:pPr>
    </w:p>
    <w:p w:rsidR="007325C5" w:rsidRDefault="007325C5" w:rsidP="007325C5">
      <w:pPr>
        <w:pStyle w:val="a3"/>
        <w:tabs>
          <w:tab w:val="left" w:pos="709"/>
        </w:tabs>
        <w:spacing w:line="276" w:lineRule="auto"/>
        <w:jc w:val="both"/>
        <w:rPr>
          <w:b/>
          <w:szCs w:val="28"/>
        </w:rPr>
      </w:pPr>
    </w:p>
    <w:p w:rsidR="007325C5" w:rsidRDefault="007325C5" w:rsidP="007325C5">
      <w:pPr>
        <w:pStyle w:val="a3"/>
        <w:tabs>
          <w:tab w:val="left" w:pos="709"/>
        </w:tabs>
        <w:spacing w:line="276" w:lineRule="auto"/>
        <w:jc w:val="both"/>
        <w:rPr>
          <w:b/>
          <w:szCs w:val="28"/>
        </w:rPr>
      </w:pPr>
    </w:p>
    <w:p w:rsidR="007325C5" w:rsidRDefault="007325C5" w:rsidP="007325C5">
      <w:pPr>
        <w:pStyle w:val="a3"/>
        <w:tabs>
          <w:tab w:val="left" w:pos="709"/>
        </w:tabs>
        <w:spacing w:line="276" w:lineRule="auto"/>
        <w:jc w:val="both"/>
        <w:rPr>
          <w:b/>
          <w:szCs w:val="28"/>
        </w:rPr>
      </w:pPr>
    </w:p>
    <w:p w:rsidR="007325C5" w:rsidRDefault="007325C5" w:rsidP="007325C5">
      <w:pPr>
        <w:pStyle w:val="a3"/>
        <w:tabs>
          <w:tab w:val="left" w:pos="709"/>
        </w:tabs>
        <w:spacing w:line="276" w:lineRule="auto"/>
        <w:jc w:val="both"/>
        <w:rPr>
          <w:b/>
          <w:szCs w:val="28"/>
          <w:highlight w:val="yellow"/>
        </w:rPr>
      </w:pPr>
      <w:r>
        <w:rPr>
          <w:b/>
          <w:szCs w:val="28"/>
        </w:rPr>
        <w:t>Методы и</w:t>
      </w:r>
      <w:proofErr w:type="gramStart"/>
      <w:r>
        <w:rPr>
          <w:b/>
          <w:szCs w:val="28"/>
          <w:lang w:val="en-US"/>
        </w:rPr>
        <w:t>c</w:t>
      </w:r>
      <w:proofErr w:type="gramEnd"/>
      <w:r>
        <w:rPr>
          <w:b/>
          <w:szCs w:val="28"/>
        </w:rPr>
        <w:t>следования</w:t>
      </w:r>
    </w:p>
    <w:p w:rsidR="007325C5" w:rsidRDefault="007325C5" w:rsidP="007325C5">
      <w:pPr>
        <w:pStyle w:val="a3"/>
        <w:numPr>
          <w:ilvl w:val="0"/>
          <w:numId w:val="1"/>
        </w:numPr>
        <w:tabs>
          <w:tab w:val="left" w:pos="709"/>
          <w:tab w:val="left" w:pos="1100"/>
        </w:tabs>
        <w:ind w:left="0" w:firstLine="0"/>
        <w:jc w:val="both"/>
        <w:rPr>
          <w:szCs w:val="28"/>
        </w:rPr>
      </w:pPr>
      <w:r>
        <w:rPr>
          <w:szCs w:val="28"/>
        </w:rPr>
        <w:t>Антропометрическое исследование: измерение роста, массы тела, окружности талии, индекс массы тела (ИМТ), отношение окружности талии к окружности бедер (ОТБ).</w:t>
      </w:r>
    </w:p>
    <w:p w:rsidR="007325C5" w:rsidRDefault="007325C5" w:rsidP="007325C5">
      <w:pPr>
        <w:pStyle w:val="a3"/>
        <w:numPr>
          <w:ilvl w:val="0"/>
          <w:numId w:val="1"/>
        </w:numPr>
        <w:tabs>
          <w:tab w:val="left" w:pos="709"/>
          <w:tab w:val="left" w:pos="1100"/>
          <w:tab w:val="left" w:pos="1210"/>
        </w:tabs>
        <w:ind w:left="0" w:firstLine="0"/>
        <w:jc w:val="both"/>
        <w:rPr>
          <w:szCs w:val="28"/>
        </w:rPr>
      </w:pPr>
      <w:r>
        <w:rPr>
          <w:szCs w:val="28"/>
        </w:rPr>
        <w:t xml:space="preserve">Измерение артериального давления. Уровни систолического и </w:t>
      </w:r>
      <w:proofErr w:type="spellStart"/>
      <w:r>
        <w:rPr>
          <w:szCs w:val="28"/>
        </w:rPr>
        <w:t>диастолического</w:t>
      </w:r>
      <w:proofErr w:type="spellEnd"/>
      <w:r>
        <w:rPr>
          <w:szCs w:val="28"/>
        </w:rPr>
        <w:t xml:space="preserve"> артериального давления (САД и ДАД) планируется измерять методом Короткова на правой руке после 5-минутного отдыха при каждом обследовании не менее 3 раз с расчетом среднего значения (</w:t>
      </w:r>
      <w:proofErr w:type="spellStart"/>
      <w:r>
        <w:rPr>
          <w:szCs w:val="28"/>
        </w:rPr>
        <w:t>Omron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Japan</w:t>
      </w:r>
      <w:proofErr w:type="spellEnd"/>
      <w:r>
        <w:rPr>
          <w:szCs w:val="28"/>
        </w:rPr>
        <w:t xml:space="preserve">). Будет рассчитываться пульсовое АД как разница САД и ДАД.     </w:t>
      </w:r>
    </w:p>
    <w:p w:rsidR="007325C5" w:rsidRDefault="007325C5" w:rsidP="007325C5">
      <w:pPr>
        <w:pStyle w:val="a3"/>
        <w:numPr>
          <w:ilvl w:val="0"/>
          <w:numId w:val="1"/>
        </w:numPr>
        <w:tabs>
          <w:tab w:val="left" w:pos="709"/>
          <w:tab w:val="left" w:pos="1100"/>
          <w:tab w:val="left" w:pos="1210"/>
        </w:tabs>
        <w:ind w:left="0" w:firstLine="0"/>
        <w:jc w:val="both"/>
        <w:rPr>
          <w:szCs w:val="28"/>
        </w:rPr>
      </w:pPr>
      <w:proofErr w:type="gramStart"/>
      <w:r>
        <w:rPr>
          <w:szCs w:val="28"/>
        </w:rPr>
        <w:t>Липидный спектр сыворотки крови (содержание общего холестерина (ХС), ТГ и ХС ЛПВП будет определяться ферментативным колориметрическим методом, уровни холестерина липопротеидов низкой плотности (ХС ЛПНП) и холестерина липопротеидов очень низкой плотности (ХС ЛПОНП) рассчитываются по формуле:</w:t>
      </w:r>
      <w:proofErr w:type="gramEnd"/>
      <w:r>
        <w:rPr>
          <w:szCs w:val="28"/>
        </w:rPr>
        <w:t xml:space="preserve">  ХС ЛПНП=ХС - (ХС ЛПВП+ХС ЛПОНП); где ХС ЛНОНП=ТГ/2,2 [</w:t>
      </w:r>
      <w:proofErr w:type="spellStart"/>
      <w:r>
        <w:rPr>
          <w:szCs w:val="28"/>
        </w:rPr>
        <w:t>Friedwald</w:t>
      </w:r>
      <w:proofErr w:type="spellEnd"/>
      <w:r>
        <w:rPr>
          <w:szCs w:val="28"/>
        </w:rPr>
        <w:t xml:space="preserve"> W.T., 1972].</w:t>
      </w:r>
    </w:p>
    <w:p w:rsidR="007325C5" w:rsidRDefault="007325C5" w:rsidP="007325C5">
      <w:pPr>
        <w:pStyle w:val="a3"/>
        <w:numPr>
          <w:ilvl w:val="0"/>
          <w:numId w:val="1"/>
        </w:numPr>
        <w:tabs>
          <w:tab w:val="left" w:pos="709"/>
          <w:tab w:val="left" w:pos="1100"/>
          <w:tab w:val="left" w:pos="1210"/>
        </w:tabs>
        <w:ind w:left="0" w:firstLine="0"/>
        <w:jc w:val="both"/>
        <w:rPr>
          <w:szCs w:val="28"/>
        </w:rPr>
      </w:pPr>
      <w:r>
        <w:rPr>
          <w:szCs w:val="28"/>
        </w:rPr>
        <w:t>Определение уровня СРБ количественным методом.</w:t>
      </w:r>
    </w:p>
    <w:p w:rsidR="007325C5" w:rsidRDefault="007325C5" w:rsidP="007325C5">
      <w:pPr>
        <w:pStyle w:val="a3"/>
        <w:numPr>
          <w:ilvl w:val="0"/>
          <w:numId w:val="1"/>
        </w:numPr>
        <w:tabs>
          <w:tab w:val="left" w:pos="709"/>
          <w:tab w:val="left" w:pos="1100"/>
          <w:tab w:val="left" w:pos="1210"/>
        </w:tabs>
        <w:ind w:left="0" w:firstLine="0"/>
        <w:jc w:val="both"/>
        <w:rPr>
          <w:szCs w:val="28"/>
        </w:rPr>
      </w:pPr>
      <w:r>
        <w:rPr>
          <w:szCs w:val="28"/>
        </w:rPr>
        <w:t>Определение концентрации альбумина в моче.</w:t>
      </w:r>
    </w:p>
    <w:p w:rsidR="007325C5" w:rsidRDefault="007325C5" w:rsidP="007325C5">
      <w:pPr>
        <w:pStyle w:val="a3"/>
        <w:numPr>
          <w:ilvl w:val="0"/>
          <w:numId w:val="1"/>
        </w:numPr>
        <w:tabs>
          <w:tab w:val="left" w:pos="709"/>
          <w:tab w:val="left" w:pos="1100"/>
          <w:tab w:val="left" w:pos="1210"/>
        </w:tabs>
        <w:ind w:left="0" w:firstLine="0"/>
        <w:jc w:val="both"/>
        <w:rPr>
          <w:szCs w:val="28"/>
        </w:rPr>
      </w:pPr>
      <w:r>
        <w:rPr>
          <w:szCs w:val="28"/>
        </w:rPr>
        <w:t xml:space="preserve">Определение уровня </w:t>
      </w:r>
      <w:proofErr w:type="spellStart"/>
      <w:r>
        <w:rPr>
          <w:szCs w:val="28"/>
        </w:rPr>
        <w:t>креатинина</w:t>
      </w:r>
      <w:proofErr w:type="spellEnd"/>
      <w:r>
        <w:rPr>
          <w:szCs w:val="28"/>
        </w:rPr>
        <w:t xml:space="preserve"> крови и расчет СКФ (формулы MDRD и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KD-EPI).</w:t>
      </w:r>
    </w:p>
    <w:p w:rsidR="007325C5" w:rsidRDefault="007325C5" w:rsidP="007325C5">
      <w:pPr>
        <w:pStyle w:val="a3"/>
        <w:numPr>
          <w:ilvl w:val="0"/>
          <w:numId w:val="1"/>
        </w:numPr>
        <w:tabs>
          <w:tab w:val="left" w:pos="709"/>
          <w:tab w:val="left" w:pos="1100"/>
          <w:tab w:val="left" w:pos="1210"/>
        </w:tabs>
        <w:ind w:left="0" w:firstLine="0"/>
        <w:jc w:val="both"/>
        <w:rPr>
          <w:szCs w:val="28"/>
        </w:rPr>
      </w:pPr>
      <w:r>
        <w:rPr>
          <w:szCs w:val="28"/>
        </w:rPr>
        <w:t xml:space="preserve">Определение уровня </w:t>
      </w:r>
      <w:proofErr w:type="spellStart"/>
      <w:r>
        <w:rPr>
          <w:szCs w:val="28"/>
        </w:rPr>
        <w:t>цистатина</w:t>
      </w:r>
      <w:proofErr w:type="spellEnd"/>
      <w:proofErr w:type="gramStart"/>
      <w:r>
        <w:rPr>
          <w:szCs w:val="28"/>
        </w:rPr>
        <w:t xml:space="preserve"> С</w:t>
      </w:r>
      <w:proofErr w:type="gramEnd"/>
      <w:r>
        <w:rPr>
          <w:szCs w:val="28"/>
        </w:rPr>
        <w:t xml:space="preserve"> крови и расчет СКФ (формула </w:t>
      </w:r>
      <w:proofErr w:type="spellStart"/>
      <w:r>
        <w:rPr>
          <w:szCs w:val="28"/>
        </w:rPr>
        <w:t>Hoek</w:t>
      </w:r>
      <w:proofErr w:type="spellEnd"/>
      <w:r>
        <w:rPr>
          <w:szCs w:val="28"/>
        </w:rPr>
        <w:t>).</w:t>
      </w:r>
    </w:p>
    <w:p w:rsidR="007325C5" w:rsidRDefault="007325C5" w:rsidP="007325C5">
      <w:pPr>
        <w:pStyle w:val="a3"/>
        <w:numPr>
          <w:ilvl w:val="0"/>
          <w:numId w:val="1"/>
        </w:numPr>
        <w:tabs>
          <w:tab w:val="left" w:pos="709"/>
          <w:tab w:val="left" w:pos="1100"/>
          <w:tab w:val="left" w:pos="1210"/>
        </w:tabs>
        <w:ind w:left="0" w:firstLine="0"/>
        <w:jc w:val="both"/>
        <w:rPr>
          <w:szCs w:val="28"/>
        </w:rPr>
      </w:pPr>
      <w:proofErr w:type="gramStart"/>
      <w:r>
        <w:rPr>
          <w:szCs w:val="28"/>
        </w:rPr>
        <w:t xml:space="preserve">Определение содержания матриксной металлопротеиназы-2 в крови (набор реагентов </w:t>
      </w:r>
      <w:proofErr w:type="spellStart"/>
      <w:r>
        <w:rPr>
          <w:szCs w:val="28"/>
        </w:rPr>
        <w:t>Human</w:t>
      </w:r>
      <w:proofErr w:type="spellEnd"/>
      <w:r>
        <w:rPr>
          <w:szCs w:val="28"/>
        </w:rPr>
        <w:t xml:space="preserve"> MMP-2 </w:t>
      </w:r>
      <w:proofErr w:type="spellStart"/>
      <w:r>
        <w:rPr>
          <w:szCs w:val="28"/>
        </w:rPr>
        <w:t>Quantikine</w:t>
      </w:r>
      <w:proofErr w:type="spellEnd"/>
      <w:r>
        <w:rPr>
          <w:szCs w:val="28"/>
        </w:rPr>
        <w:t xml:space="preserve"> ELISA </w:t>
      </w:r>
      <w:proofErr w:type="spellStart"/>
      <w:r>
        <w:rPr>
          <w:szCs w:val="28"/>
        </w:rPr>
        <w:t>Kit</w:t>
      </w:r>
      <w:proofErr w:type="spellEnd"/>
      <w:r>
        <w:rPr>
          <w:szCs w:val="28"/>
        </w:rPr>
        <w:t xml:space="preserve">). </w:t>
      </w:r>
      <w:proofErr w:type="gramEnd"/>
    </w:p>
    <w:p w:rsidR="007325C5" w:rsidRDefault="007325C5" w:rsidP="007325C5">
      <w:pPr>
        <w:pStyle w:val="a3"/>
        <w:numPr>
          <w:ilvl w:val="0"/>
          <w:numId w:val="1"/>
        </w:numPr>
        <w:tabs>
          <w:tab w:val="left" w:pos="709"/>
          <w:tab w:val="left" w:pos="1100"/>
          <w:tab w:val="left" w:pos="1210"/>
        </w:tabs>
        <w:ind w:left="0" w:firstLine="0"/>
        <w:jc w:val="both"/>
        <w:rPr>
          <w:szCs w:val="28"/>
        </w:rPr>
      </w:pPr>
      <w:proofErr w:type="spellStart"/>
      <w:r>
        <w:rPr>
          <w:szCs w:val="28"/>
        </w:rPr>
        <w:t>Эхокардиография</w:t>
      </w:r>
      <w:proofErr w:type="spellEnd"/>
      <w:r>
        <w:rPr>
          <w:szCs w:val="28"/>
        </w:rPr>
        <w:t xml:space="preserve"> на аппарате </w:t>
      </w:r>
      <w:proofErr w:type="spellStart"/>
      <w:r>
        <w:rPr>
          <w:szCs w:val="28"/>
        </w:rPr>
        <w:t>LogiqBook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General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Electrics</w:t>
      </w:r>
      <w:proofErr w:type="spellEnd"/>
      <w:r>
        <w:rPr>
          <w:szCs w:val="28"/>
        </w:rPr>
        <w:t>, США) с определением размеров полостей сердца, толщины стенок, ИММЛЖ, соотношения пиков</w:t>
      </w:r>
      <w:proofErr w:type="gramStart"/>
      <w:r>
        <w:rPr>
          <w:szCs w:val="28"/>
        </w:rPr>
        <w:t xml:space="preserve"> Е</w:t>
      </w:r>
      <w:proofErr w:type="gramEnd"/>
      <w:r>
        <w:rPr>
          <w:szCs w:val="28"/>
        </w:rPr>
        <w:t>/А, ФВ.</w:t>
      </w:r>
    </w:p>
    <w:p w:rsidR="007325C5" w:rsidRDefault="007325C5" w:rsidP="007325C5">
      <w:pPr>
        <w:pStyle w:val="a3"/>
        <w:numPr>
          <w:ilvl w:val="0"/>
          <w:numId w:val="1"/>
        </w:numPr>
        <w:tabs>
          <w:tab w:val="left" w:pos="709"/>
          <w:tab w:val="left" w:pos="1100"/>
          <w:tab w:val="left" w:pos="1210"/>
        </w:tabs>
        <w:ind w:left="0" w:firstLine="0"/>
        <w:jc w:val="both"/>
        <w:rPr>
          <w:szCs w:val="28"/>
        </w:rPr>
      </w:pPr>
      <w:r>
        <w:rPr>
          <w:szCs w:val="28"/>
        </w:rPr>
        <w:t xml:space="preserve">Измерение скорости пульсовой волны и параметров </w:t>
      </w:r>
      <w:proofErr w:type="gramStart"/>
      <w:r>
        <w:rPr>
          <w:szCs w:val="28"/>
        </w:rPr>
        <w:t>центрального</w:t>
      </w:r>
      <w:proofErr w:type="gramEnd"/>
    </w:p>
    <w:p w:rsidR="007325C5" w:rsidRDefault="007325C5" w:rsidP="007325C5">
      <w:pPr>
        <w:pStyle w:val="a3"/>
        <w:tabs>
          <w:tab w:val="left" w:pos="709"/>
          <w:tab w:val="left" w:pos="1100"/>
          <w:tab w:val="left" w:pos="1210"/>
        </w:tabs>
        <w:jc w:val="both"/>
        <w:rPr>
          <w:szCs w:val="28"/>
        </w:rPr>
      </w:pPr>
      <w:r>
        <w:rPr>
          <w:szCs w:val="28"/>
        </w:rPr>
        <w:t xml:space="preserve">АД с помощью модуля, интегрированного в систему </w:t>
      </w:r>
      <w:proofErr w:type="spellStart"/>
      <w:r>
        <w:rPr>
          <w:szCs w:val="28"/>
        </w:rPr>
        <w:t>Sphygmocor</w:t>
      </w:r>
      <w:proofErr w:type="spellEnd"/>
      <w:r>
        <w:rPr>
          <w:szCs w:val="28"/>
        </w:rPr>
        <w:t xml:space="preserve">  (</w:t>
      </w:r>
      <w:proofErr w:type="spellStart"/>
      <w:r>
        <w:rPr>
          <w:szCs w:val="28"/>
        </w:rPr>
        <w:t>Atcor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Medical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Inc</w:t>
      </w:r>
      <w:proofErr w:type="spellEnd"/>
      <w:r>
        <w:rPr>
          <w:szCs w:val="28"/>
        </w:rPr>
        <w:t xml:space="preserve">., США) у пациентов с ФП и </w:t>
      </w:r>
      <w:proofErr w:type="spellStart"/>
      <w:r>
        <w:rPr>
          <w:szCs w:val="28"/>
        </w:rPr>
        <w:t>синусовым</w:t>
      </w:r>
      <w:proofErr w:type="spellEnd"/>
      <w:r>
        <w:rPr>
          <w:szCs w:val="28"/>
        </w:rPr>
        <w:t xml:space="preserve"> ритмом на момент обследования.</w:t>
      </w:r>
    </w:p>
    <w:p w:rsidR="007325C5" w:rsidRDefault="007325C5" w:rsidP="007325C5">
      <w:pPr>
        <w:pStyle w:val="a3"/>
        <w:tabs>
          <w:tab w:val="left" w:pos="709"/>
          <w:tab w:val="left" w:pos="1100"/>
          <w:tab w:val="left" w:pos="1210"/>
        </w:tabs>
        <w:jc w:val="both"/>
        <w:rPr>
          <w:szCs w:val="28"/>
        </w:rPr>
      </w:pPr>
    </w:p>
    <w:p w:rsidR="007325C5" w:rsidRDefault="007325C5" w:rsidP="007325C5">
      <w:pPr>
        <w:pStyle w:val="a3"/>
        <w:tabs>
          <w:tab w:val="left" w:pos="709"/>
          <w:tab w:val="left" w:pos="1418"/>
        </w:tabs>
        <w:spacing w:line="276" w:lineRule="auto"/>
        <w:ind w:left="1440"/>
        <w:jc w:val="both"/>
        <w:rPr>
          <w:szCs w:val="28"/>
          <w:highlight w:val="yellow"/>
        </w:rPr>
      </w:pPr>
    </w:p>
    <w:p w:rsidR="007325C5" w:rsidRDefault="007325C5" w:rsidP="007325C5">
      <w:pPr>
        <w:pStyle w:val="a3"/>
        <w:tabs>
          <w:tab w:val="left" w:pos="709"/>
          <w:tab w:val="left" w:pos="1418"/>
        </w:tabs>
        <w:spacing w:line="276" w:lineRule="auto"/>
        <w:jc w:val="both"/>
        <w:rPr>
          <w:szCs w:val="28"/>
        </w:rPr>
      </w:pPr>
      <w:r>
        <w:rPr>
          <w:szCs w:val="28"/>
        </w:rPr>
        <w:tab/>
      </w:r>
    </w:p>
    <w:p w:rsidR="007325C5" w:rsidRDefault="007325C5" w:rsidP="007325C5">
      <w:pPr>
        <w:pStyle w:val="a3"/>
        <w:tabs>
          <w:tab w:val="left" w:pos="709"/>
          <w:tab w:val="left" w:pos="1418"/>
        </w:tabs>
        <w:spacing w:line="276" w:lineRule="auto"/>
        <w:jc w:val="both"/>
        <w:rPr>
          <w:szCs w:val="28"/>
        </w:rPr>
      </w:pPr>
    </w:p>
    <w:p w:rsidR="008272E6" w:rsidRPr="007325C5" w:rsidRDefault="008272E6">
      <w:pPr>
        <w:rPr>
          <w:sz w:val="28"/>
          <w:szCs w:val="28"/>
        </w:rPr>
      </w:pPr>
    </w:p>
    <w:sectPr w:rsidR="008272E6" w:rsidRPr="007325C5" w:rsidSect="00827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1475C"/>
    <w:multiLevelType w:val="hybridMultilevel"/>
    <w:tmpl w:val="CFBCF6B2"/>
    <w:lvl w:ilvl="0" w:tplc="ABBE0D54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5C5"/>
    <w:rsid w:val="007325C5"/>
    <w:rsid w:val="00827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325C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7325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7325C5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7325C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2015-04-29T02:59:00Z</dcterms:created>
  <dcterms:modified xsi:type="dcterms:W3CDTF">2015-04-29T02:59:00Z</dcterms:modified>
</cp:coreProperties>
</file>